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部分防护物资（消毒产品）</w:t>
      </w:r>
      <w:r>
        <w:rPr>
          <w:rFonts w:hint="eastAsia"/>
          <w:b/>
          <w:bCs/>
          <w:sz w:val="44"/>
          <w:szCs w:val="52"/>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十</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w:t>
      </w:r>
      <w:r>
        <w:rPr>
          <w:rFonts w:hint="eastAsia" w:asciiTheme="minorEastAsia" w:hAnsiTheme="minorEastAsia" w:cstheme="minorEastAsia"/>
          <w:color w:val="000000" w:themeColor="text1"/>
          <w:kern w:val="0"/>
          <w:sz w:val="30"/>
          <w:szCs w:val="30"/>
          <w:shd w:val="clear" w:color="auto" w:fill="FFFFFF"/>
          <w:lang w:eastAsia="zh-CN"/>
        </w:rPr>
        <w:t>防护物资（消毒产品）</w:t>
      </w:r>
      <w:r>
        <w:rPr>
          <w:rFonts w:hint="eastAsia" w:asciiTheme="minorEastAsia" w:hAnsiTheme="minorEastAsia" w:cstheme="minorEastAsia"/>
          <w:color w:val="000000" w:themeColor="text1"/>
          <w:kern w:val="0"/>
          <w:sz w:val="30"/>
          <w:szCs w:val="30"/>
          <w:shd w:val="clear" w:color="auto" w:fill="FFFFFF"/>
        </w:rPr>
        <w:t>采购进行院内竞争性谈判招标，具有供货能力的供应商均可前来报名。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10</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10</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22</w:t>
      </w:r>
      <w:r>
        <w:rPr>
          <w:rFonts w:hint="eastAsia" w:asciiTheme="minorEastAsia" w:hAnsiTheme="minorEastAsia" w:cstheme="minorEastAsia"/>
          <w:color w:val="000000" w:themeColor="text1"/>
          <w:kern w:val="0"/>
          <w:sz w:val="30"/>
          <w:szCs w:val="30"/>
          <w:shd w:val="clear" w:color="auto" w:fill="FFFFFF"/>
        </w:rPr>
        <w:t>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10</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22</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:30分在铜仁市妇幼保健院</w:t>
      </w:r>
      <w:r>
        <w:rPr>
          <w:rFonts w:hint="eastAsia" w:asciiTheme="minorEastAsia" w:hAnsiTheme="minorEastAsia" w:cstheme="minorEastAsia"/>
          <w:color w:val="000000" w:themeColor="text1"/>
          <w:kern w:val="0"/>
          <w:sz w:val="30"/>
          <w:szCs w:val="30"/>
          <w:shd w:val="clear" w:color="auto" w:fill="FFFFFF"/>
          <w:lang w:eastAsia="zh-CN"/>
        </w:rPr>
        <w:t>儿童康复楼五</w:t>
      </w:r>
      <w:r>
        <w:rPr>
          <w:rFonts w:hint="eastAsia" w:asciiTheme="minorEastAsia" w:hAnsiTheme="minorEastAsia" w:cstheme="minorEastAsia"/>
          <w:color w:val="000000" w:themeColor="text1"/>
          <w:kern w:val="0"/>
          <w:sz w:val="30"/>
          <w:szCs w:val="30"/>
          <w:shd w:val="clear" w:color="auto" w:fill="FFFFFF"/>
        </w:rPr>
        <w:t>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10</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w:t>
      </w:r>
    </w:p>
    <w:tbl>
      <w:tblPr>
        <w:tblStyle w:val="6"/>
        <w:tblpPr w:leftFromText="180" w:rightFromText="180" w:vertAnchor="text" w:horzAnchor="page" w:tblpX="3854" w:tblpY="734"/>
        <w:tblOverlap w:val="never"/>
        <w:tblW w:w="6270" w:type="dxa"/>
        <w:tblInd w:w="0" w:type="dxa"/>
        <w:shd w:val="clear" w:color="auto" w:fill="auto"/>
        <w:tblLayout w:type="autofit"/>
        <w:tblCellMar>
          <w:top w:w="0" w:type="dxa"/>
          <w:left w:w="0" w:type="dxa"/>
          <w:bottom w:w="0" w:type="dxa"/>
          <w:right w:w="0" w:type="dxa"/>
        </w:tblCellMar>
      </w:tblPr>
      <w:tblGrid>
        <w:gridCol w:w="2820"/>
        <w:gridCol w:w="1710"/>
        <w:gridCol w:w="660"/>
        <w:gridCol w:w="1080"/>
      </w:tblGrid>
      <w:tr>
        <w:tblPrEx>
          <w:shd w:val="clear" w:color="auto" w:fill="auto"/>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利尔康消毒液95%酒精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500ml*30瓶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75％酒精消毒液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500ml*30瓶/件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利尔康消毒液 75%酒精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100ml*100瓶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75％酒精消毒液（外翻盖）</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碘伏消毒液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利尔康碘伏消毒液(外)</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100mlx100瓶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碘伏 消毒液（外翻盖）</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60ml*100瓶/箱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利尔康牌爱尔碘Ⅱ型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皮肤粘膜消毒液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60nl*100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蒲清天然皂液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500ml*25瓶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葡清天然皂液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1L  15瓶/件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葡清牌免洗外科手消毒凝胶</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500ml*25瓶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蒲清速干免洗手皮肤消毒液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500ml*30瓶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卫生湿巾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20片*60包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洁芙柔速干手消毒液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洁芙柔速干手消毒液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葡清专用手消毒液</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r>
      <w:tr>
        <w:tblPrEx>
          <w:tblCellMar>
            <w:top w:w="0" w:type="dxa"/>
            <w:left w:w="0" w:type="dxa"/>
            <w:bottom w:w="0" w:type="dxa"/>
            <w:right w:w="0" w:type="dxa"/>
          </w:tblCellMar>
        </w:tblPrEx>
        <w:trPr>
          <w:trHeight w:val="600" w:hRule="atLeast"/>
        </w:trPr>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259.50元</w:t>
            </w:r>
          </w:p>
        </w:tc>
      </w:tr>
    </w:tbl>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p>
      <w:pPr>
        <w:pStyle w:val="12"/>
        <w:rPr>
          <w:rFonts w:hAnsi="宋体"/>
          <w:b/>
          <w:sz w:val="28"/>
          <w:szCs w:val="28"/>
        </w:rPr>
      </w:pPr>
    </w:p>
    <w:p>
      <w:pPr>
        <w:pStyle w:val="12"/>
        <w:rPr>
          <w:rFonts w:hAnsi="宋体"/>
          <w:b/>
          <w:sz w:val="28"/>
          <w:szCs w:val="28"/>
        </w:rPr>
      </w:pPr>
    </w:p>
    <w:p>
      <w:pPr>
        <w:pStyle w:val="12"/>
        <w:rPr>
          <w:rFonts w:hAnsi="宋体"/>
          <w:b/>
          <w:szCs w:val="24"/>
        </w:rPr>
      </w:pPr>
    </w:p>
    <w:p>
      <w:pPr>
        <w:pStyle w:val="12"/>
        <w:rPr>
          <w:rFonts w:hAnsi="宋体"/>
          <w:b/>
          <w:sz w:val="28"/>
          <w:szCs w:val="28"/>
        </w:rPr>
      </w:pPr>
      <w:bookmarkStart w:id="0" w:name="_GoBack"/>
      <w:bookmarkEnd w:id="0"/>
    </w:p>
    <w:p>
      <w:pPr>
        <w:pStyle w:val="12"/>
        <w:rPr>
          <w:rFonts w:hAnsi="宋体"/>
          <w:b/>
          <w:sz w:val="28"/>
          <w:szCs w:val="28"/>
        </w:rPr>
      </w:pPr>
    </w:p>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47B36"/>
    <w:rsid w:val="00053F41"/>
    <w:rsid w:val="000D79ED"/>
    <w:rsid w:val="001A7C62"/>
    <w:rsid w:val="001D5BE8"/>
    <w:rsid w:val="001F5CF0"/>
    <w:rsid w:val="0024461D"/>
    <w:rsid w:val="002E48BE"/>
    <w:rsid w:val="0034133F"/>
    <w:rsid w:val="00345F70"/>
    <w:rsid w:val="003B4659"/>
    <w:rsid w:val="00407C54"/>
    <w:rsid w:val="0043161C"/>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10B32167"/>
    <w:rsid w:val="149E219C"/>
    <w:rsid w:val="18B44D8D"/>
    <w:rsid w:val="1B3D7F0E"/>
    <w:rsid w:val="20367521"/>
    <w:rsid w:val="29D50C3D"/>
    <w:rsid w:val="2C5162DA"/>
    <w:rsid w:val="30B3648C"/>
    <w:rsid w:val="35EA2ADC"/>
    <w:rsid w:val="3E69396B"/>
    <w:rsid w:val="438D0BFE"/>
    <w:rsid w:val="4A8B1FB3"/>
    <w:rsid w:val="4E8E602F"/>
    <w:rsid w:val="56246371"/>
    <w:rsid w:val="569E6418"/>
    <w:rsid w:val="604C7785"/>
    <w:rsid w:val="7453309E"/>
    <w:rsid w:val="78FC6DA6"/>
    <w:rsid w:val="7D1E6DB9"/>
    <w:rsid w:val="7F1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7"/>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qFormat/>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7">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Words>
  <Characters>1156</Characters>
  <Lines>9</Lines>
  <Paragraphs>2</Paragraphs>
  <TotalTime>11</TotalTime>
  <ScaleCrop>false</ScaleCrop>
  <LinksUpToDate>false</LinksUpToDate>
  <CharactersWithSpaces>1356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Administrator</cp:lastModifiedBy>
  <cp:lastPrinted>2019-06-18T06:42:00Z</cp:lastPrinted>
  <dcterms:modified xsi:type="dcterms:W3CDTF">2020-10-29T07:49:03Z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